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38BB4" w14:textId="52DD7237" w:rsidR="00EB2265" w:rsidRDefault="006851BF" w:rsidP="002A1EC5">
      <w:pPr>
        <w:jc w:val="center"/>
      </w:pPr>
      <w:r w:rsidRPr="00EF5F90">
        <w:rPr>
          <w:rFonts w:ascii="Times New Roman" w:eastAsia="Times New Roman" w:hAnsi="Times New Roman" w:cs="Times New Roman"/>
          <w:noProof/>
          <w:color w:val="000000"/>
          <w:sz w:val="27"/>
          <w:szCs w:val="27"/>
        </w:rPr>
        <w:drawing>
          <wp:inline distT="0" distB="0" distL="0" distR="0" wp14:anchorId="14738951" wp14:editId="2F679A08">
            <wp:extent cx="1428750" cy="952500"/>
            <wp:effectExtent l="0" t="0" r="0" b="0"/>
            <wp:docPr id="1076344909" name="Picture 1076344909" descr="AIorK4yu16D932iZZB1mdyIsMXsgHm8lI9M7ED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IorK4yu16D932iZZB1mdyIsMXsgHm8lI9M7EDb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37452" cy="958301"/>
                    </a:xfrm>
                    <a:prstGeom prst="rect">
                      <a:avLst/>
                    </a:prstGeom>
                    <a:noFill/>
                    <a:ln>
                      <a:noFill/>
                    </a:ln>
                  </pic:spPr>
                </pic:pic>
              </a:graphicData>
            </a:graphic>
          </wp:inline>
        </w:drawing>
      </w:r>
    </w:p>
    <w:p w14:paraId="0E41AE01" w14:textId="77777777" w:rsidR="00C56905" w:rsidRDefault="00C56905"/>
    <w:p w14:paraId="5B235999" w14:textId="3FF9D674" w:rsidR="00C56905" w:rsidRDefault="00C56905" w:rsidP="00C56905">
      <w:pPr>
        <w:jc w:val="center"/>
        <w:rPr>
          <w:rFonts w:ascii="Georgia" w:hAnsi="Georgia"/>
          <w:b/>
          <w:bCs/>
          <w:sz w:val="40"/>
          <w:szCs w:val="40"/>
        </w:rPr>
      </w:pPr>
      <w:r>
        <w:rPr>
          <w:rFonts w:ascii="Georgia" w:hAnsi="Georgia"/>
          <w:b/>
          <w:bCs/>
          <w:sz w:val="40"/>
          <w:szCs w:val="40"/>
        </w:rPr>
        <w:t>TESTIMONY IN SUPPORT OF H. 4138</w:t>
      </w:r>
    </w:p>
    <w:p w14:paraId="47F4BC6D" w14:textId="6B55EC56" w:rsidR="00C56905" w:rsidRDefault="00C56905" w:rsidP="00C56905">
      <w:pPr>
        <w:jc w:val="center"/>
        <w:rPr>
          <w:rFonts w:ascii="Georgia" w:hAnsi="Georgia"/>
          <w:b/>
          <w:bCs/>
          <w:sz w:val="40"/>
          <w:szCs w:val="40"/>
        </w:rPr>
      </w:pPr>
      <w:r>
        <w:rPr>
          <w:rFonts w:ascii="Georgia" w:hAnsi="Georgia"/>
          <w:b/>
          <w:bCs/>
          <w:sz w:val="40"/>
          <w:szCs w:val="40"/>
        </w:rPr>
        <w:t>The Affordable Homes Act</w:t>
      </w:r>
    </w:p>
    <w:p w14:paraId="7A7AD569" w14:textId="5E697EB1" w:rsidR="00C264B3" w:rsidRDefault="00C264B3" w:rsidP="00C56905">
      <w:pPr>
        <w:jc w:val="center"/>
        <w:rPr>
          <w:rFonts w:ascii="Georgia" w:hAnsi="Georgia"/>
          <w:b/>
          <w:bCs/>
          <w:sz w:val="32"/>
          <w:szCs w:val="32"/>
        </w:rPr>
      </w:pPr>
      <w:r>
        <w:rPr>
          <w:rFonts w:ascii="Georgia" w:hAnsi="Georgia"/>
          <w:b/>
          <w:bCs/>
          <w:sz w:val="32"/>
          <w:szCs w:val="32"/>
        </w:rPr>
        <w:t>Joint Legislative Committee on Bonding, Capital Debt and State Assets</w:t>
      </w:r>
    </w:p>
    <w:p w14:paraId="5E734F63" w14:textId="69A50341" w:rsidR="00C264B3" w:rsidRPr="00C264B3" w:rsidRDefault="00C264B3" w:rsidP="00C56905">
      <w:pPr>
        <w:jc w:val="center"/>
        <w:rPr>
          <w:rFonts w:ascii="Georgia" w:hAnsi="Georgia"/>
          <w:b/>
          <w:bCs/>
          <w:sz w:val="32"/>
          <w:szCs w:val="32"/>
        </w:rPr>
      </w:pPr>
      <w:r w:rsidRPr="00C264B3">
        <w:rPr>
          <w:rFonts w:ascii="Georgia" w:hAnsi="Georgia"/>
          <w:b/>
          <w:bCs/>
          <w:sz w:val="32"/>
          <w:szCs w:val="32"/>
        </w:rPr>
        <w:t>April 2, 2024</w:t>
      </w:r>
    </w:p>
    <w:p w14:paraId="124BE85F" w14:textId="46834BFF" w:rsidR="00C56905" w:rsidRPr="006C1D4D" w:rsidRDefault="00C56905" w:rsidP="00C56905">
      <w:pPr>
        <w:jc w:val="both"/>
        <w:rPr>
          <w:rFonts w:ascii="Georgia" w:hAnsi="Georgia"/>
          <w:sz w:val="24"/>
          <w:szCs w:val="24"/>
        </w:rPr>
      </w:pPr>
      <w:r w:rsidRPr="006C1D4D">
        <w:rPr>
          <w:rFonts w:ascii="Georgia" w:hAnsi="Georgia"/>
          <w:sz w:val="24"/>
          <w:szCs w:val="24"/>
        </w:rPr>
        <w:t>Dignity Alliance Massachusetts applauds the Healey-Driscoll Administration for their leadership in addressing the issue of housing as proposed in House Bill No. 4138 – the Affordable Homes Act.  The legislation offers an important opportunity to address the housing needs of older adults, people with disabilities and caregivers in the Commonwealth.</w:t>
      </w:r>
    </w:p>
    <w:p w14:paraId="53F370CC" w14:textId="6024CB28" w:rsidR="00C56905" w:rsidRPr="006C1D4D" w:rsidRDefault="00C56905" w:rsidP="00C56905">
      <w:pPr>
        <w:jc w:val="both"/>
        <w:rPr>
          <w:rFonts w:ascii="Georgia" w:hAnsi="Georgia"/>
          <w:sz w:val="24"/>
          <w:szCs w:val="24"/>
        </w:rPr>
      </w:pPr>
      <w:r w:rsidRPr="006C1D4D">
        <w:rPr>
          <w:rFonts w:ascii="Georgia" w:hAnsi="Georgia"/>
          <w:sz w:val="24"/>
          <w:szCs w:val="24"/>
        </w:rPr>
        <w:t xml:space="preserve">We take this opportunity to focus on several important aspects of this legislation, and urge the Joint Committee on </w:t>
      </w:r>
      <w:r w:rsidR="00C264B3">
        <w:rPr>
          <w:rFonts w:ascii="Georgia" w:hAnsi="Georgia"/>
          <w:sz w:val="24"/>
          <w:szCs w:val="24"/>
        </w:rPr>
        <w:t>Bond</w:t>
      </w:r>
      <w:r w:rsidRPr="006C1D4D">
        <w:rPr>
          <w:rFonts w:ascii="Georgia" w:hAnsi="Georgia"/>
          <w:sz w:val="24"/>
          <w:szCs w:val="24"/>
        </w:rPr>
        <w:t>ing,</w:t>
      </w:r>
      <w:r w:rsidR="00C264B3">
        <w:rPr>
          <w:rFonts w:ascii="Georgia" w:hAnsi="Georgia"/>
          <w:sz w:val="24"/>
          <w:szCs w:val="24"/>
        </w:rPr>
        <w:t xml:space="preserve"> Capital Debt and State Assets</w:t>
      </w:r>
      <w:r w:rsidRPr="006C1D4D">
        <w:rPr>
          <w:rFonts w:ascii="Georgia" w:hAnsi="Georgia"/>
          <w:sz w:val="24"/>
          <w:szCs w:val="24"/>
        </w:rPr>
        <w:t xml:space="preserve"> to prioritize the allocation of the bond funding authorized in H.4138 to recognize</w:t>
      </w:r>
      <w:r w:rsidR="008052AF" w:rsidRPr="006C1D4D">
        <w:rPr>
          <w:rFonts w:ascii="Georgia" w:hAnsi="Georgia"/>
          <w:sz w:val="24"/>
          <w:szCs w:val="24"/>
        </w:rPr>
        <w:t xml:space="preserve"> several important needs.</w:t>
      </w:r>
    </w:p>
    <w:p w14:paraId="227AB409" w14:textId="53416989" w:rsidR="00743679" w:rsidRPr="006C1D4D" w:rsidRDefault="00743679" w:rsidP="00743679">
      <w:pPr>
        <w:jc w:val="both"/>
        <w:rPr>
          <w:rFonts w:ascii="Georgia" w:hAnsi="Georgia"/>
          <w:sz w:val="24"/>
          <w:szCs w:val="24"/>
        </w:rPr>
      </w:pPr>
      <w:r w:rsidRPr="006C1D4D">
        <w:rPr>
          <w:rFonts w:ascii="Georgia" w:hAnsi="Georgia"/>
          <w:sz w:val="24"/>
          <w:szCs w:val="24"/>
        </w:rPr>
        <w:t>H. 4138 thoughtfully includes</w:t>
      </w:r>
      <w:r w:rsidR="00530A61" w:rsidRPr="006C1D4D">
        <w:rPr>
          <w:rFonts w:ascii="Georgia" w:hAnsi="Georgia"/>
          <w:sz w:val="24"/>
          <w:szCs w:val="24"/>
        </w:rPr>
        <w:t xml:space="preserve"> direction to the Executive Office of Housing and Livable Communities to prepare a statewide housing plan every five years</w:t>
      </w:r>
      <w:r w:rsidRPr="006C1D4D">
        <w:rPr>
          <w:rFonts w:ascii="Georgia" w:hAnsi="Georgia"/>
          <w:sz w:val="24"/>
          <w:szCs w:val="24"/>
        </w:rPr>
        <w:t>, and that plan</w:t>
      </w:r>
      <w:r w:rsidR="00530A61" w:rsidRPr="006C1D4D">
        <w:rPr>
          <w:rFonts w:ascii="Georgia" w:hAnsi="Georgia"/>
          <w:sz w:val="24"/>
          <w:szCs w:val="24"/>
        </w:rPr>
        <w:t xml:space="preserve"> must address the growing population of older adults and people with disabilities.</w:t>
      </w:r>
      <w:r w:rsidRPr="006C1D4D">
        <w:rPr>
          <w:rFonts w:ascii="Georgia" w:hAnsi="Georgia"/>
          <w:sz w:val="24"/>
          <w:szCs w:val="24"/>
        </w:rPr>
        <w:t xml:space="preserve"> The aging population in Massachusetts is growing rapidly.  According to the Massachusetts Healthy Aging Data Report, there are about one million people o</w:t>
      </w:r>
      <w:r w:rsidR="00B6626A" w:rsidRPr="006C1D4D">
        <w:rPr>
          <w:rFonts w:ascii="Georgia" w:hAnsi="Georgia"/>
          <w:sz w:val="24"/>
          <w:szCs w:val="24"/>
        </w:rPr>
        <w:t>ver</w:t>
      </w:r>
      <w:r w:rsidRPr="006C1D4D">
        <w:rPr>
          <w:rFonts w:ascii="Georgia" w:hAnsi="Georgia"/>
          <w:sz w:val="24"/>
          <w:szCs w:val="24"/>
        </w:rPr>
        <w:t xml:space="preserve"> the age of 65, which represents about 15% of the population.  That 15% is expected to increase</w:t>
      </w:r>
      <w:r w:rsidR="00B6626A" w:rsidRPr="006C1D4D">
        <w:rPr>
          <w:rFonts w:ascii="Georgia" w:hAnsi="Georgia"/>
          <w:sz w:val="24"/>
          <w:szCs w:val="24"/>
        </w:rPr>
        <w:t xml:space="preserve"> in only</w:t>
      </w:r>
      <w:r w:rsidR="008174D2" w:rsidRPr="006C1D4D">
        <w:rPr>
          <w:rFonts w:ascii="Georgia" w:hAnsi="Georgia"/>
          <w:sz w:val="24"/>
          <w:szCs w:val="24"/>
        </w:rPr>
        <w:t xml:space="preserve"> a</w:t>
      </w:r>
      <w:r w:rsidR="00B6626A" w:rsidRPr="006C1D4D">
        <w:rPr>
          <w:rFonts w:ascii="Georgia" w:hAnsi="Georgia"/>
          <w:sz w:val="24"/>
          <w:szCs w:val="24"/>
        </w:rPr>
        <w:t xml:space="preserve"> few years,</w:t>
      </w:r>
      <w:r w:rsidRPr="006C1D4D">
        <w:rPr>
          <w:rFonts w:ascii="Georgia" w:hAnsi="Georgia"/>
          <w:sz w:val="24"/>
          <w:szCs w:val="24"/>
        </w:rPr>
        <w:t xml:space="preserve"> to 21% by 2030.  The number of people aged 65 and over in Massachusetts is projected to rise to 43% over the next 15 years.</w:t>
      </w:r>
      <w:r w:rsidR="006D765E" w:rsidRPr="006C1D4D">
        <w:rPr>
          <w:rStyle w:val="FootnoteReference"/>
          <w:rFonts w:ascii="Georgia" w:hAnsi="Georgia"/>
          <w:sz w:val="24"/>
          <w:szCs w:val="24"/>
        </w:rPr>
        <w:footnoteReference w:id="1"/>
      </w:r>
      <w:r w:rsidRPr="006C1D4D">
        <w:rPr>
          <w:rFonts w:ascii="Georgia" w:hAnsi="Georgia"/>
          <w:sz w:val="24"/>
          <w:szCs w:val="24"/>
        </w:rPr>
        <w:t xml:space="preserve">  Any statewide housing plan, if it is to be relevant to the needs of </w:t>
      </w:r>
      <w:r w:rsidR="00B6626A" w:rsidRPr="006C1D4D">
        <w:rPr>
          <w:rFonts w:ascii="Georgia" w:hAnsi="Georgia"/>
          <w:sz w:val="24"/>
          <w:szCs w:val="24"/>
        </w:rPr>
        <w:t xml:space="preserve">this fast-growing population of </w:t>
      </w:r>
      <w:r w:rsidRPr="006C1D4D">
        <w:rPr>
          <w:rFonts w:ascii="Georgia" w:hAnsi="Georgia"/>
          <w:sz w:val="24"/>
          <w:szCs w:val="24"/>
        </w:rPr>
        <w:t>older adults must take this into consideration through the provision of more accessible, as well as affordable, housing especially with easy access of public transportation.</w:t>
      </w:r>
    </w:p>
    <w:p w14:paraId="6DCF4DAE" w14:textId="4AA6D878" w:rsidR="00AD3DFA" w:rsidRDefault="00743679" w:rsidP="00743679">
      <w:pPr>
        <w:jc w:val="both"/>
        <w:rPr>
          <w:rFonts w:ascii="Georgia" w:hAnsi="Georgia"/>
          <w:sz w:val="24"/>
          <w:szCs w:val="24"/>
        </w:rPr>
      </w:pPr>
      <w:r w:rsidRPr="006C1D4D">
        <w:rPr>
          <w:rFonts w:ascii="Georgia" w:hAnsi="Georgia"/>
          <w:sz w:val="24"/>
          <w:szCs w:val="24"/>
        </w:rPr>
        <w:t>The call, in H.4138 for investment in public housing recognizes the importance of public housing for older adults and people with disabilities whose income is often too low to maintain private market</w:t>
      </w:r>
      <w:r w:rsidR="00B6626A" w:rsidRPr="006C1D4D">
        <w:rPr>
          <w:rFonts w:ascii="Georgia" w:hAnsi="Georgia"/>
          <w:sz w:val="24"/>
          <w:szCs w:val="24"/>
        </w:rPr>
        <w:t>-rate</w:t>
      </w:r>
      <w:r w:rsidRPr="006C1D4D">
        <w:rPr>
          <w:rFonts w:ascii="Georgia" w:hAnsi="Georgia"/>
          <w:sz w:val="24"/>
          <w:szCs w:val="24"/>
        </w:rPr>
        <w:t xml:space="preserve"> homes or apartments.  Several aspects of this legislation provide the opportunity to develop what is called “small house homes,” modelled on the </w:t>
      </w:r>
      <w:r w:rsidR="00B6626A" w:rsidRPr="006C1D4D">
        <w:rPr>
          <w:rFonts w:ascii="Georgia" w:hAnsi="Georgia"/>
          <w:sz w:val="24"/>
          <w:szCs w:val="24"/>
        </w:rPr>
        <w:lastRenderedPageBreak/>
        <w:t>concept</w:t>
      </w:r>
      <w:r w:rsidRPr="006C1D4D">
        <w:rPr>
          <w:rFonts w:ascii="Georgia" w:hAnsi="Georgia"/>
          <w:sz w:val="24"/>
          <w:szCs w:val="24"/>
        </w:rPr>
        <w:t xml:space="preserve"> developed by the US Veterans’ Administration and the Green House</w:t>
      </w:r>
      <w:r w:rsidR="00B6626A" w:rsidRPr="006C1D4D">
        <w:rPr>
          <w:rFonts w:ascii="Georgia" w:hAnsi="Georgia"/>
          <w:sz w:val="24"/>
          <w:szCs w:val="24"/>
        </w:rPr>
        <w:t xml:space="preserve"> Project</w:t>
      </w:r>
      <w:r w:rsidRPr="006C1D4D">
        <w:rPr>
          <w:rFonts w:ascii="Georgia" w:hAnsi="Georgia"/>
          <w:sz w:val="24"/>
          <w:szCs w:val="24"/>
        </w:rPr>
        <w:t>.</w:t>
      </w:r>
      <w:r w:rsidR="00AD3DFA" w:rsidRPr="006C1D4D">
        <w:rPr>
          <w:rFonts w:ascii="Georgia" w:hAnsi="Georgia"/>
          <w:sz w:val="24"/>
          <w:szCs w:val="24"/>
        </w:rPr>
        <w:t xml:space="preserve"> These small house homes could be built on excess state lands especially those </w:t>
      </w:r>
      <w:r w:rsidR="00B6626A" w:rsidRPr="006C1D4D">
        <w:rPr>
          <w:rFonts w:ascii="Georgia" w:hAnsi="Georgia"/>
          <w:sz w:val="24"/>
          <w:szCs w:val="24"/>
        </w:rPr>
        <w:t xml:space="preserve">sites </w:t>
      </w:r>
      <w:r w:rsidR="00AD3DFA" w:rsidRPr="006C1D4D">
        <w:rPr>
          <w:rFonts w:ascii="Georgia" w:hAnsi="Georgia"/>
          <w:sz w:val="24"/>
          <w:szCs w:val="24"/>
        </w:rPr>
        <w:t>that are near utilities and public transportation or on municipal land donated by communities seeking to support their aging residents</w:t>
      </w:r>
      <w:r w:rsidR="00B6626A" w:rsidRPr="006C1D4D">
        <w:rPr>
          <w:rFonts w:ascii="Georgia" w:hAnsi="Georgia"/>
          <w:sz w:val="24"/>
          <w:szCs w:val="24"/>
        </w:rPr>
        <w:t xml:space="preserve"> as was the case fifty years ago with the construction of state-aided housing for the elderly</w:t>
      </w:r>
      <w:r w:rsidR="00AD3DFA" w:rsidRPr="006C1D4D">
        <w:rPr>
          <w:rFonts w:ascii="Georgia" w:hAnsi="Georgia"/>
          <w:sz w:val="24"/>
          <w:szCs w:val="24"/>
        </w:rPr>
        <w:t>.</w:t>
      </w:r>
      <w:r w:rsidR="003B717D" w:rsidRPr="006C1D4D">
        <w:rPr>
          <w:rStyle w:val="FootnoteReference"/>
          <w:rFonts w:ascii="Georgia" w:hAnsi="Georgia"/>
          <w:sz w:val="24"/>
          <w:szCs w:val="24"/>
        </w:rPr>
        <w:footnoteReference w:id="2"/>
      </w:r>
      <w:r w:rsidR="003B717D" w:rsidRPr="006C1D4D">
        <w:rPr>
          <w:rFonts w:ascii="Georgia" w:hAnsi="Georgia"/>
          <w:sz w:val="24"/>
          <w:szCs w:val="24"/>
        </w:rPr>
        <w:t>/</w:t>
      </w:r>
      <w:r w:rsidR="003B717D" w:rsidRPr="006C1D4D">
        <w:rPr>
          <w:rStyle w:val="FootnoteReference"/>
          <w:rFonts w:ascii="Georgia" w:hAnsi="Georgia"/>
          <w:sz w:val="24"/>
          <w:szCs w:val="24"/>
        </w:rPr>
        <w:footnoteReference w:id="3"/>
      </w:r>
    </w:p>
    <w:p w14:paraId="5B388CFD" w14:textId="65E53710" w:rsidR="00C264B3" w:rsidRPr="006C1D4D" w:rsidRDefault="00C264B3" w:rsidP="00743679">
      <w:pPr>
        <w:jc w:val="both"/>
        <w:rPr>
          <w:rFonts w:ascii="Georgia" w:hAnsi="Georgia"/>
          <w:sz w:val="24"/>
          <w:szCs w:val="24"/>
        </w:rPr>
      </w:pPr>
      <w:r>
        <w:rPr>
          <w:rFonts w:ascii="Georgia" w:hAnsi="Georgia"/>
          <w:sz w:val="24"/>
          <w:szCs w:val="24"/>
        </w:rPr>
        <w:t>The Legislature, thoughtfully, provided a $200 million authorization to fund veterans’ small homes when it also authorized $400 million to rebuild the Holyoke Soldiers Home.  The latter project (Holyoke) had ground broken more than six-months ago.  The Administration has yet to implement the small homes funding for veterans anywhere, especially where it is needed in areas of the Commonwealth where many veterans live.  It is, indeed, shameful that so many frail, elderly or disabled veterans are left with only the option of nursing home residence that has, in many cases, failed the older adults they were designed to serve.  Dignity Alliance suggests that the small home project included in H. 4138 could be jump-started, in the case of veterans, by developing the veterans’ small home projects as envisioned by the Legislature several years ago and serve as a pilot project for developing and administering small homes for the general, non-veteran population.</w:t>
      </w:r>
    </w:p>
    <w:p w14:paraId="39ACE6C3" w14:textId="41533241" w:rsidR="00743679" w:rsidRPr="006C1D4D" w:rsidRDefault="00743679" w:rsidP="00743679">
      <w:pPr>
        <w:jc w:val="both"/>
        <w:rPr>
          <w:rFonts w:ascii="Georgia" w:hAnsi="Georgia"/>
          <w:sz w:val="24"/>
          <w:szCs w:val="24"/>
        </w:rPr>
      </w:pPr>
      <w:r w:rsidRPr="006C1D4D">
        <w:rPr>
          <w:rFonts w:ascii="Georgia" w:hAnsi="Georgia"/>
          <w:sz w:val="24"/>
          <w:szCs w:val="24"/>
        </w:rPr>
        <w:t xml:space="preserve">The bill further advances this concept through its provisions for supportive services for older adults and people with disabilities. </w:t>
      </w:r>
      <w:r w:rsidR="00AD3DFA" w:rsidRPr="006C1D4D">
        <w:rPr>
          <w:rFonts w:ascii="Georgia" w:hAnsi="Georgia"/>
          <w:sz w:val="24"/>
          <w:szCs w:val="24"/>
        </w:rPr>
        <w:t xml:space="preserve"> Supportive housing services are far more preferable than institutional settings such as nursing homes and can result in a savings to the Commonwealth by helping people stay in the community.  </w:t>
      </w:r>
      <w:r w:rsidRPr="006C1D4D">
        <w:rPr>
          <w:rFonts w:ascii="Georgia" w:hAnsi="Georgia"/>
          <w:sz w:val="24"/>
          <w:szCs w:val="24"/>
        </w:rPr>
        <w:t xml:space="preserve">Dignity Alliance </w:t>
      </w:r>
      <w:r w:rsidR="00B6626A" w:rsidRPr="006C1D4D">
        <w:rPr>
          <w:rFonts w:ascii="Georgia" w:hAnsi="Georgia"/>
          <w:sz w:val="24"/>
          <w:szCs w:val="24"/>
        </w:rPr>
        <w:t>strongly recommends</w:t>
      </w:r>
      <w:r w:rsidRPr="006C1D4D">
        <w:rPr>
          <w:rFonts w:ascii="Georgia" w:hAnsi="Georgia"/>
          <w:sz w:val="24"/>
          <w:szCs w:val="24"/>
        </w:rPr>
        <w:t xml:space="preserve"> that a</w:t>
      </w:r>
      <w:r w:rsidR="00AD3DFA" w:rsidRPr="006C1D4D">
        <w:rPr>
          <w:rFonts w:ascii="Georgia" w:hAnsi="Georgia"/>
          <w:sz w:val="24"/>
          <w:szCs w:val="24"/>
        </w:rPr>
        <w:t xml:space="preserve"> certain portion of these funds be carved out for this purpose.</w:t>
      </w:r>
      <w:r w:rsidR="003B717D" w:rsidRPr="006C1D4D">
        <w:rPr>
          <w:rStyle w:val="FootnoteReference"/>
          <w:rFonts w:ascii="Georgia" w:hAnsi="Georgia"/>
          <w:sz w:val="24"/>
          <w:szCs w:val="24"/>
        </w:rPr>
        <w:footnoteReference w:id="4"/>
      </w:r>
    </w:p>
    <w:p w14:paraId="72BC6F6F" w14:textId="2173457F" w:rsidR="00A112C5" w:rsidRPr="006C1D4D" w:rsidRDefault="00AD3DFA" w:rsidP="00743679">
      <w:pPr>
        <w:jc w:val="both"/>
        <w:rPr>
          <w:rFonts w:ascii="Georgia" w:hAnsi="Georgia"/>
          <w:sz w:val="24"/>
          <w:szCs w:val="24"/>
        </w:rPr>
      </w:pPr>
      <w:r w:rsidRPr="006C1D4D">
        <w:rPr>
          <w:rFonts w:ascii="Georgia" w:hAnsi="Georgia"/>
          <w:sz w:val="24"/>
          <w:szCs w:val="24"/>
        </w:rPr>
        <w:t xml:space="preserve">Other important provisions of H.4138 authorize $60 million for the Home Modification Program and for new “community-based” housing for people with disabilities.  Dignity Alliance respectfully urges that both of these programs warrant an increased amount of support and, if not included in the proposed bond, should be flagged for </w:t>
      </w:r>
      <w:r w:rsidR="00B9500C" w:rsidRPr="006C1D4D">
        <w:rPr>
          <w:rFonts w:ascii="Georgia" w:hAnsi="Georgia"/>
          <w:sz w:val="24"/>
          <w:szCs w:val="24"/>
        </w:rPr>
        <w:t xml:space="preserve">periodic </w:t>
      </w:r>
      <w:r w:rsidRPr="006C1D4D">
        <w:rPr>
          <w:rFonts w:ascii="Georgia" w:hAnsi="Georgia"/>
          <w:sz w:val="24"/>
          <w:szCs w:val="24"/>
        </w:rPr>
        <w:t xml:space="preserve">review as part of the proposed statewide </w:t>
      </w:r>
      <w:r w:rsidR="00B9500C" w:rsidRPr="006C1D4D">
        <w:rPr>
          <w:rFonts w:ascii="Georgia" w:hAnsi="Georgia"/>
          <w:sz w:val="24"/>
          <w:szCs w:val="24"/>
        </w:rPr>
        <w:t>housing plan.</w:t>
      </w:r>
      <w:r w:rsidR="006C1D4D" w:rsidRPr="006C1D4D">
        <w:rPr>
          <w:rStyle w:val="FootnoteReference"/>
          <w:rFonts w:ascii="Georgia" w:hAnsi="Georgia"/>
          <w:sz w:val="24"/>
          <w:szCs w:val="24"/>
        </w:rPr>
        <w:footnoteReference w:id="5"/>
      </w:r>
      <w:r w:rsidR="006C1D4D">
        <w:rPr>
          <w:rFonts w:ascii="Georgia" w:hAnsi="Georgia"/>
          <w:sz w:val="24"/>
          <w:szCs w:val="24"/>
        </w:rPr>
        <w:t>/</w:t>
      </w:r>
      <w:r w:rsidR="006C1D4D">
        <w:rPr>
          <w:rStyle w:val="FootnoteReference"/>
          <w:rFonts w:ascii="Georgia" w:hAnsi="Georgia"/>
          <w:sz w:val="24"/>
          <w:szCs w:val="24"/>
        </w:rPr>
        <w:footnoteReference w:id="6"/>
      </w:r>
      <w:r w:rsidR="00A112C5">
        <w:rPr>
          <w:rFonts w:ascii="Georgia" w:hAnsi="Georgia"/>
          <w:sz w:val="24"/>
          <w:szCs w:val="24"/>
        </w:rPr>
        <w:t xml:space="preserve">  S1629 currently in Senate Ways and Means and H.2874 in the Committee on Revenue might also be worth review for possible inclusion in the Affordable Homes Act.</w:t>
      </w:r>
    </w:p>
    <w:p w14:paraId="4C71F644" w14:textId="5FB56721" w:rsidR="00B9500C" w:rsidRPr="006C1D4D" w:rsidRDefault="00B9500C" w:rsidP="00743679">
      <w:pPr>
        <w:jc w:val="both"/>
        <w:rPr>
          <w:rFonts w:ascii="Georgia" w:hAnsi="Georgia"/>
          <w:sz w:val="24"/>
          <w:szCs w:val="24"/>
        </w:rPr>
      </w:pPr>
      <w:r w:rsidRPr="006C1D4D">
        <w:rPr>
          <w:rFonts w:ascii="Georgia" w:hAnsi="Georgia"/>
          <w:sz w:val="24"/>
          <w:szCs w:val="24"/>
        </w:rPr>
        <w:t>The provisions of the bill providing for increased investment in public housing should also focus on the inventory of units of local housing for the elderly projects</w:t>
      </w:r>
      <w:r w:rsidR="00B6626A" w:rsidRPr="006C1D4D">
        <w:rPr>
          <w:rFonts w:ascii="Georgia" w:hAnsi="Georgia"/>
          <w:sz w:val="24"/>
          <w:szCs w:val="24"/>
        </w:rPr>
        <w:t>,</w:t>
      </w:r>
      <w:r w:rsidRPr="006C1D4D">
        <w:rPr>
          <w:rFonts w:ascii="Georgia" w:hAnsi="Georgia"/>
          <w:sz w:val="24"/>
          <w:szCs w:val="24"/>
        </w:rPr>
        <w:t xml:space="preserve"> many of which we constructed in the 1960’s.  This type of housing would benefit from more units designed for people with disabilities with or without supportive services.  Given global warming, the units should also be equipped to address extreme heat issues as well.</w:t>
      </w:r>
      <w:r w:rsidR="006C1D4D">
        <w:rPr>
          <w:rStyle w:val="FootnoteReference"/>
          <w:rFonts w:ascii="Georgia" w:hAnsi="Georgia"/>
          <w:sz w:val="24"/>
          <w:szCs w:val="24"/>
        </w:rPr>
        <w:footnoteReference w:id="7"/>
      </w:r>
    </w:p>
    <w:p w14:paraId="552E52AD" w14:textId="0538BA9B" w:rsidR="003245FA" w:rsidRPr="006C1D4D" w:rsidRDefault="003245FA" w:rsidP="00743679">
      <w:pPr>
        <w:jc w:val="both"/>
        <w:rPr>
          <w:rFonts w:ascii="Georgia" w:hAnsi="Georgia"/>
          <w:sz w:val="24"/>
          <w:szCs w:val="24"/>
        </w:rPr>
      </w:pPr>
      <w:r w:rsidRPr="006C1D4D">
        <w:rPr>
          <w:rFonts w:ascii="Georgia" w:hAnsi="Georgia"/>
          <w:sz w:val="24"/>
          <w:szCs w:val="24"/>
        </w:rPr>
        <w:lastRenderedPageBreak/>
        <w:t xml:space="preserve">Dignity Alliance applauds provisions for authorizing accessory dwelling units without the needs for zoning review.  S904/H1296 currently </w:t>
      </w:r>
      <w:r w:rsidR="00CC796D" w:rsidRPr="006C1D4D">
        <w:rPr>
          <w:rFonts w:ascii="Georgia" w:hAnsi="Georgia"/>
          <w:sz w:val="24"/>
          <w:szCs w:val="24"/>
        </w:rPr>
        <w:t>under review by the Joint Committee on Housing would also achieve this goal.</w:t>
      </w:r>
      <w:r w:rsidR="00CB778A" w:rsidRPr="006C1D4D">
        <w:rPr>
          <w:rStyle w:val="FootnoteReference"/>
          <w:rFonts w:ascii="Georgia" w:hAnsi="Georgia"/>
          <w:sz w:val="24"/>
          <w:szCs w:val="24"/>
        </w:rPr>
        <w:footnoteReference w:id="8"/>
      </w:r>
      <w:r w:rsidR="00CB778A" w:rsidRPr="006C1D4D">
        <w:rPr>
          <w:rFonts w:ascii="Georgia" w:hAnsi="Georgia"/>
          <w:sz w:val="24"/>
          <w:szCs w:val="24"/>
        </w:rPr>
        <w:t>/</w:t>
      </w:r>
      <w:r w:rsidR="00CB778A" w:rsidRPr="006C1D4D">
        <w:rPr>
          <w:rStyle w:val="FootnoteReference"/>
          <w:rFonts w:ascii="Georgia" w:hAnsi="Georgia"/>
          <w:sz w:val="24"/>
          <w:szCs w:val="24"/>
        </w:rPr>
        <w:footnoteReference w:id="9"/>
      </w:r>
    </w:p>
    <w:p w14:paraId="27FCB5AE" w14:textId="16AC1657" w:rsidR="00B9500C" w:rsidRPr="006C1D4D" w:rsidRDefault="00B9500C" w:rsidP="00743679">
      <w:pPr>
        <w:jc w:val="both"/>
        <w:rPr>
          <w:rFonts w:ascii="Georgia" w:hAnsi="Georgia"/>
          <w:sz w:val="24"/>
          <w:szCs w:val="24"/>
        </w:rPr>
      </w:pPr>
      <w:r w:rsidRPr="006C1D4D">
        <w:rPr>
          <w:rFonts w:ascii="Georgia" w:hAnsi="Georgia"/>
          <w:sz w:val="24"/>
          <w:szCs w:val="24"/>
        </w:rPr>
        <w:t>Although the need for public housing anti-bullying provisions may be beyond the scope of the bond bill, Dignity Alliance recommends strongly that the Legislature and Executive Branch consider</w:t>
      </w:r>
      <w:r w:rsidR="003245FA" w:rsidRPr="006C1D4D">
        <w:rPr>
          <w:rFonts w:ascii="Georgia" w:hAnsi="Georgia"/>
          <w:sz w:val="24"/>
          <w:szCs w:val="24"/>
        </w:rPr>
        <w:t xml:space="preserve"> House 1329, An Act to prevent and respond to bullying of older adults and people with disabilities in public housing which is under consideration by the Joint Committee on Housing.</w:t>
      </w:r>
      <w:r w:rsidR="00B6626A" w:rsidRPr="006C1D4D">
        <w:rPr>
          <w:rFonts w:ascii="Georgia" w:hAnsi="Georgia"/>
          <w:sz w:val="24"/>
          <w:szCs w:val="24"/>
        </w:rPr>
        <w:t xml:space="preserve">  As a report released by the National A</w:t>
      </w:r>
      <w:r w:rsidR="008174D2" w:rsidRPr="006C1D4D">
        <w:rPr>
          <w:rFonts w:ascii="Georgia" w:hAnsi="Georgia"/>
          <w:sz w:val="24"/>
          <w:szCs w:val="24"/>
        </w:rPr>
        <w:t>ffordable Housing Professionals indicates, older adults are just as likely to be bullied as younger families.</w:t>
      </w:r>
      <w:r w:rsidR="008174D2" w:rsidRPr="006C1D4D">
        <w:rPr>
          <w:rStyle w:val="FootnoteReference"/>
          <w:rFonts w:ascii="Georgia" w:hAnsi="Georgia"/>
          <w:sz w:val="24"/>
          <w:szCs w:val="24"/>
        </w:rPr>
        <w:footnoteReference w:id="10"/>
      </w:r>
      <w:r w:rsidR="008174D2" w:rsidRPr="006C1D4D">
        <w:rPr>
          <w:rFonts w:ascii="Georgia" w:hAnsi="Georgia"/>
          <w:sz w:val="24"/>
          <w:szCs w:val="24"/>
        </w:rPr>
        <w:t xml:space="preserve">  The report states, “bullying knows no age limit and in fact, an estimated 10%-20% of older adults experience some sort bullying—the exact figures are hard to come by because incidents often go unreported.”</w:t>
      </w:r>
    </w:p>
    <w:p w14:paraId="438A7154" w14:textId="5CF0A7EB" w:rsidR="00313CBF" w:rsidRPr="006C1D4D" w:rsidRDefault="00313CBF" w:rsidP="00743679">
      <w:pPr>
        <w:jc w:val="both"/>
        <w:rPr>
          <w:rFonts w:ascii="Georgia" w:hAnsi="Georgia"/>
          <w:sz w:val="24"/>
          <w:szCs w:val="24"/>
        </w:rPr>
      </w:pPr>
      <w:r w:rsidRPr="006C1D4D">
        <w:rPr>
          <w:rFonts w:ascii="Georgia" w:hAnsi="Georgia"/>
          <w:sz w:val="24"/>
          <w:szCs w:val="24"/>
        </w:rPr>
        <w:t xml:space="preserve">The National Center for Housing Management has documented this serious issue in older adult housing </w:t>
      </w:r>
      <w:r w:rsidR="00E17EAD" w:rsidRPr="006C1D4D">
        <w:rPr>
          <w:rFonts w:ascii="Georgia" w:hAnsi="Georgia"/>
          <w:sz w:val="24"/>
          <w:szCs w:val="24"/>
        </w:rPr>
        <w:t>over the past</w:t>
      </w:r>
      <w:r w:rsidRPr="006C1D4D">
        <w:rPr>
          <w:rFonts w:ascii="Georgia" w:hAnsi="Georgia"/>
          <w:sz w:val="24"/>
          <w:szCs w:val="24"/>
        </w:rPr>
        <w:t xml:space="preserve"> decad</w:t>
      </w:r>
      <w:r w:rsidR="00E17EAD" w:rsidRPr="006C1D4D">
        <w:rPr>
          <w:rFonts w:ascii="Georgia" w:hAnsi="Georgia"/>
          <w:sz w:val="24"/>
          <w:szCs w:val="24"/>
        </w:rPr>
        <w:t>e</w:t>
      </w:r>
      <w:r w:rsidRPr="006C1D4D">
        <w:rPr>
          <w:rFonts w:ascii="Georgia" w:hAnsi="Georgia"/>
          <w:sz w:val="24"/>
          <w:szCs w:val="24"/>
        </w:rPr>
        <w:t>.</w:t>
      </w:r>
      <w:r w:rsidRPr="006C1D4D">
        <w:rPr>
          <w:rStyle w:val="FootnoteReference"/>
          <w:rFonts w:ascii="Georgia" w:hAnsi="Georgia"/>
          <w:sz w:val="24"/>
          <w:szCs w:val="24"/>
        </w:rPr>
        <w:footnoteReference w:id="11"/>
      </w:r>
    </w:p>
    <w:p w14:paraId="37210462" w14:textId="1C94F6E1" w:rsidR="00CC796D" w:rsidRPr="006C1D4D" w:rsidRDefault="00CC796D" w:rsidP="002E4F07">
      <w:pPr>
        <w:spacing w:after="13" w:line="269" w:lineRule="auto"/>
        <w:ind w:right="14"/>
        <w:jc w:val="both"/>
        <w:rPr>
          <w:rFonts w:ascii="Georgia" w:eastAsia="Times New Roman" w:hAnsi="Georgia" w:cs="Times New Roman"/>
          <w:color w:val="000000"/>
          <w:sz w:val="24"/>
          <w:szCs w:val="24"/>
        </w:rPr>
      </w:pPr>
      <w:r w:rsidRPr="006C1D4D">
        <w:rPr>
          <w:rFonts w:ascii="Georgia" w:hAnsi="Georgia"/>
          <w:sz w:val="24"/>
          <w:szCs w:val="24"/>
        </w:rPr>
        <w:t>Finally, Dignity Alliance strongly supports the provision</w:t>
      </w:r>
      <w:r w:rsidR="002E4F07" w:rsidRPr="006C1D4D">
        <w:rPr>
          <w:rFonts w:ascii="Georgia" w:hAnsi="Georgia"/>
          <w:sz w:val="24"/>
          <w:szCs w:val="24"/>
        </w:rPr>
        <w:t xml:space="preserve"> in Section 103</w:t>
      </w:r>
      <w:r w:rsidRPr="006C1D4D">
        <w:rPr>
          <w:rFonts w:ascii="Georgia" w:hAnsi="Georgia"/>
          <w:sz w:val="24"/>
          <w:szCs w:val="24"/>
        </w:rPr>
        <w:t xml:space="preserve"> in the Bond Bill establishing </w:t>
      </w:r>
      <w:r w:rsidRPr="006C1D4D">
        <w:rPr>
          <w:rFonts w:ascii="Georgia" w:eastAsia="Times New Roman" w:hAnsi="Georgia" w:cs="Times New Roman"/>
          <w:color w:val="000000"/>
          <w:sz w:val="24"/>
          <w:szCs w:val="24"/>
        </w:rPr>
        <w:t xml:space="preserve">a Senior Housing &amp; Age-Friendly Communities Commission to recommend policy, programs, and investments to expand the supply of sustainable, broadly affordable supportive senior housing and appropriate community supports.  </w:t>
      </w:r>
      <w:r w:rsidR="002E4F07" w:rsidRPr="006C1D4D">
        <w:rPr>
          <w:rFonts w:ascii="Georgia" w:eastAsia="Times New Roman" w:hAnsi="Georgia" w:cs="Times New Roman"/>
          <w:color w:val="000000"/>
          <w:sz w:val="24"/>
          <w:szCs w:val="24"/>
        </w:rPr>
        <w:t>Dignity Alliance is willing to designate a member to serve on said commission and also to work with the commission as it develops its report</w:t>
      </w:r>
    </w:p>
    <w:p w14:paraId="53B79108" w14:textId="77777777" w:rsidR="00477F21" w:rsidRPr="006C1D4D" w:rsidRDefault="00477F21" w:rsidP="002E4F07">
      <w:pPr>
        <w:spacing w:after="13" w:line="269" w:lineRule="auto"/>
        <w:ind w:right="14"/>
        <w:jc w:val="both"/>
        <w:rPr>
          <w:rFonts w:ascii="Georgia" w:eastAsia="Times New Roman" w:hAnsi="Georgia" w:cs="Times New Roman"/>
          <w:color w:val="000000"/>
          <w:sz w:val="24"/>
          <w:szCs w:val="24"/>
        </w:rPr>
      </w:pPr>
    </w:p>
    <w:p w14:paraId="2A9BA219" w14:textId="0EC70D1E" w:rsidR="002E4F07" w:rsidRPr="006C1D4D" w:rsidRDefault="002E4F07" w:rsidP="00743679">
      <w:pPr>
        <w:jc w:val="both"/>
        <w:rPr>
          <w:rFonts w:ascii="Georgia" w:hAnsi="Georgia"/>
          <w:sz w:val="24"/>
          <w:szCs w:val="24"/>
        </w:rPr>
      </w:pPr>
      <w:r w:rsidRPr="006C1D4D">
        <w:rPr>
          <w:rFonts w:ascii="Georgia" w:hAnsi="Georgia"/>
          <w:sz w:val="24"/>
          <w:szCs w:val="24"/>
        </w:rPr>
        <w:t>If the committee has any questions regarding our testimony, please feel free to contact former Senator Richard T. Moore (617) 413-7734 who serves as chair of our Legislative Work Group.</w:t>
      </w:r>
      <w:r w:rsidR="00477F21" w:rsidRPr="006C1D4D">
        <w:rPr>
          <w:rFonts w:ascii="Georgia" w:hAnsi="Georgia"/>
          <w:sz w:val="24"/>
          <w:szCs w:val="24"/>
        </w:rPr>
        <w:t xml:space="preserve">  Email: rmoore8743@charter.net.</w:t>
      </w:r>
    </w:p>
    <w:p w14:paraId="14F4EC07" w14:textId="758D4458" w:rsidR="002E4F07" w:rsidRDefault="002E4F07" w:rsidP="00743679">
      <w:pPr>
        <w:jc w:val="both"/>
        <w:rPr>
          <w:rFonts w:ascii="Georgia" w:hAnsi="Georgia"/>
          <w:sz w:val="24"/>
          <w:szCs w:val="24"/>
        </w:rPr>
      </w:pPr>
      <w:r w:rsidRPr="006C1D4D">
        <w:rPr>
          <w:rFonts w:ascii="Georgia" w:hAnsi="Georgia"/>
          <w:sz w:val="24"/>
          <w:szCs w:val="24"/>
        </w:rPr>
        <w:t>Thank you for the opportunity to provide testimony on this important legislation.</w:t>
      </w:r>
    </w:p>
    <w:p w14:paraId="052A05D7" w14:textId="77777777" w:rsidR="00A112C5" w:rsidRDefault="00A112C5" w:rsidP="00743679">
      <w:pPr>
        <w:jc w:val="both"/>
        <w:rPr>
          <w:rFonts w:ascii="Georgia" w:hAnsi="Georgia"/>
          <w:sz w:val="24"/>
          <w:szCs w:val="24"/>
        </w:rPr>
      </w:pPr>
    </w:p>
    <w:p w14:paraId="71EBE9FB" w14:textId="77777777" w:rsidR="00A112C5" w:rsidRPr="006C1D4D" w:rsidRDefault="00A112C5" w:rsidP="00743679">
      <w:pPr>
        <w:jc w:val="both"/>
        <w:rPr>
          <w:rFonts w:ascii="Georgia" w:hAnsi="Georgia"/>
          <w:sz w:val="24"/>
          <w:szCs w:val="24"/>
        </w:rPr>
      </w:pPr>
    </w:p>
    <w:p w14:paraId="6C1E3BCC" w14:textId="5B99E0AC" w:rsidR="00130BE8" w:rsidRDefault="00130BE8" w:rsidP="00130BE8">
      <w:pPr>
        <w:pBdr>
          <w:top w:val="single" w:sz="12" w:space="1" w:color="auto"/>
          <w:bottom w:val="single" w:sz="12" w:space="1" w:color="auto"/>
        </w:pBdr>
        <w:spacing w:after="120" w:line="264" w:lineRule="auto"/>
        <w:jc w:val="both"/>
        <w:rPr>
          <w:rFonts w:ascii="Times New Roman" w:hAnsi="Times New Roman" w:cs="Times New Roman"/>
          <w:b/>
          <w:bCs/>
          <w:sz w:val="28"/>
          <w:szCs w:val="28"/>
        </w:rPr>
      </w:pPr>
      <w:r w:rsidRPr="009B65DE">
        <w:rPr>
          <w:rFonts w:ascii="Georgia" w:hAnsi="Georgia" w:cs="Segoe UI Historic"/>
          <w:color w:val="050505"/>
          <w:kern w:val="0"/>
          <w:sz w:val="20"/>
          <w:szCs w:val="20"/>
          <w:shd w:val="clear" w:color="auto" w:fill="FFFFFF"/>
          <w14:ligatures w14:val="none"/>
        </w:rPr>
        <w:t>Dignity Alliance Massachusetts, a grass-roots</w:t>
      </w:r>
      <w:r w:rsidR="00C264B3">
        <w:rPr>
          <w:rFonts w:ascii="Georgia" w:hAnsi="Georgia" w:cs="Segoe UI Historic"/>
          <w:color w:val="050505"/>
          <w:kern w:val="0"/>
          <w:sz w:val="20"/>
          <w:szCs w:val="20"/>
          <w:shd w:val="clear" w:color="auto" w:fill="FFFFFF"/>
          <w14:ligatures w14:val="none"/>
        </w:rPr>
        <w:t>, all-volunteer,</w:t>
      </w:r>
      <w:r>
        <w:rPr>
          <w:rFonts w:ascii="Georgia" w:hAnsi="Georgia" w:cs="Segoe UI Historic"/>
          <w:color w:val="050505"/>
          <w:kern w:val="0"/>
          <w:sz w:val="20"/>
          <w:szCs w:val="20"/>
          <w:shd w:val="clear" w:color="auto" w:fill="FFFFFF"/>
          <w14:ligatures w14:val="none"/>
        </w:rPr>
        <w:t xml:space="preserve"> 501 (</w:t>
      </w:r>
      <w:proofErr w:type="gramStart"/>
      <w:r>
        <w:rPr>
          <w:rFonts w:ascii="Georgia" w:hAnsi="Georgia" w:cs="Segoe UI Historic"/>
          <w:color w:val="050505"/>
          <w:kern w:val="0"/>
          <w:sz w:val="20"/>
          <w:szCs w:val="20"/>
          <w:shd w:val="clear" w:color="auto" w:fill="FFFFFF"/>
          <w14:ligatures w14:val="none"/>
        </w:rPr>
        <w:t>c</w:t>
      </w:r>
      <w:r w:rsidR="00C264B3">
        <w:rPr>
          <w:rFonts w:ascii="Georgia" w:hAnsi="Georgia" w:cs="Segoe UI Historic"/>
          <w:color w:val="050505"/>
          <w:kern w:val="0"/>
          <w:sz w:val="20"/>
          <w:szCs w:val="20"/>
          <w:shd w:val="clear" w:color="auto" w:fill="FFFFFF"/>
          <w14:ligatures w14:val="none"/>
        </w:rPr>
        <w:t xml:space="preserve"> )</w:t>
      </w:r>
      <w:proofErr w:type="gramEnd"/>
      <w:r>
        <w:rPr>
          <w:rFonts w:ascii="Georgia" w:hAnsi="Georgia" w:cs="Segoe UI Historic"/>
          <w:color w:val="050505"/>
          <w:kern w:val="0"/>
          <w:sz w:val="20"/>
          <w:szCs w:val="20"/>
          <w:shd w:val="clear" w:color="auto" w:fill="FFFFFF"/>
          <w14:ligatures w14:val="none"/>
        </w:rPr>
        <w:t xml:space="preserve"> 3</w:t>
      </w:r>
      <w:r w:rsidRPr="009B65DE">
        <w:rPr>
          <w:rFonts w:ascii="Georgia" w:hAnsi="Georgia" w:cs="Segoe UI Historic"/>
          <w:color w:val="050505"/>
          <w:kern w:val="0"/>
          <w:sz w:val="20"/>
          <w:szCs w:val="20"/>
          <w:shd w:val="clear" w:color="auto" w:fill="FFFFFF"/>
          <w14:ligatures w14:val="none"/>
        </w:rPr>
        <w:t xml:space="preserve"> coalition of aging and disability service and advocacy organizations and supporters, work</w:t>
      </w:r>
      <w:r>
        <w:rPr>
          <w:rFonts w:ascii="Georgia" w:hAnsi="Georgia" w:cs="Segoe UI Historic"/>
          <w:color w:val="050505"/>
          <w:kern w:val="0"/>
          <w:sz w:val="20"/>
          <w:szCs w:val="20"/>
          <w:shd w:val="clear" w:color="auto" w:fill="FFFFFF"/>
          <w14:ligatures w14:val="none"/>
        </w:rPr>
        <w:t>ing</w:t>
      </w:r>
      <w:r w:rsidRPr="009B65DE">
        <w:rPr>
          <w:rFonts w:ascii="Georgia" w:hAnsi="Georgia" w:cs="Segoe UI Historic"/>
          <w:color w:val="050505"/>
          <w:kern w:val="0"/>
          <w:sz w:val="20"/>
          <w:szCs w:val="20"/>
          <w:shd w:val="clear" w:color="auto" w:fill="FFFFFF"/>
          <w14:ligatures w14:val="none"/>
        </w:rPr>
        <w:t xml:space="preserve"> to secure fundamental changes in the provision of long-term services, support, and care.  A coalition of more than 30 organizations, committed to a new vision of dignity and care for older and disabled people in Massachusetts! Positions are not necessarily the opinions of all members. </w:t>
      </w:r>
    </w:p>
    <w:p w14:paraId="720CE24A" w14:textId="77777777" w:rsidR="008052AF" w:rsidRPr="00C56905" w:rsidRDefault="008052AF" w:rsidP="00C56905">
      <w:pPr>
        <w:jc w:val="both"/>
        <w:rPr>
          <w:rFonts w:ascii="Georgia" w:hAnsi="Georgia"/>
          <w:sz w:val="28"/>
          <w:szCs w:val="28"/>
        </w:rPr>
      </w:pPr>
    </w:p>
    <w:sectPr w:rsidR="008052AF" w:rsidRPr="00C5690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A873D" w14:textId="77777777" w:rsidR="00F02621" w:rsidRDefault="00F02621" w:rsidP="008174D2">
      <w:pPr>
        <w:spacing w:after="0" w:line="240" w:lineRule="auto"/>
      </w:pPr>
      <w:r>
        <w:separator/>
      </w:r>
    </w:p>
  </w:endnote>
  <w:endnote w:type="continuationSeparator" w:id="0">
    <w:p w14:paraId="29A8498A" w14:textId="77777777" w:rsidR="00F02621" w:rsidRDefault="00F02621" w:rsidP="008174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D70128" w14:textId="77777777" w:rsidR="00F02621" w:rsidRDefault="00F02621" w:rsidP="008174D2">
      <w:pPr>
        <w:spacing w:after="0" w:line="240" w:lineRule="auto"/>
      </w:pPr>
      <w:r>
        <w:separator/>
      </w:r>
    </w:p>
  </w:footnote>
  <w:footnote w:type="continuationSeparator" w:id="0">
    <w:p w14:paraId="1ED192BD" w14:textId="77777777" w:rsidR="00F02621" w:rsidRDefault="00F02621" w:rsidP="008174D2">
      <w:pPr>
        <w:spacing w:after="0" w:line="240" w:lineRule="auto"/>
      </w:pPr>
      <w:r>
        <w:continuationSeparator/>
      </w:r>
    </w:p>
  </w:footnote>
  <w:footnote w:id="1">
    <w:p w14:paraId="0F7A7C6C" w14:textId="6ACAB944" w:rsidR="006D765E" w:rsidRDefault="006D765E">
      <w:pPr>
        <w:pStyle w:val="FootnoteText"/>
      </w:pPr>
      <w:r>
        <w:rPr>
          <w:rStyle w:val="FootnoteReference"/>
        </w:rPr>
        <w:footnoteRef/>
      </w:r>
      <w:r>
        <w:t xml:space="preserve"> </w:t>
      </w:r>
      <w:hyperlink r:id="rId1" w:history="1">
        <w:r w:rsidRPr="00AB0CC5">
          <w:rPr>
            <w:rStyle w:val="Hyperlink"/>
          </w:rPr>
          <w:t>https://www.mamh.org/assets/files/MA_Healthy_Aging_Highlights_2018.pd</w:t>
        </w:r>
      </w:hyperlink>
      <w:r>
        <w:t xml:space="preserve"> </w:t>
      </w:r>
    </w:p>
  </w:footnote>
  <w:footnote w:id="2">
    <w:p w14:paraId="368126E1" w14:textId="3C1335B5" w:rsidR="003B717D" w:rsidRDefault="003B717D">
      <w:pPr>
        <w:pStyle w:val="FootnoteText"/>
      </w:pPr>
      <w:r>
        <w:rPr>
          <w:rStyle w:val="FootnoteReference"/>
        </w:rPr>
        <w:footnoteRef/>
      </w:r>
      <w:r>
        <w:t xml:space="preserve"> </w:t>
      </w:r>
      <w:hyperlink r:id="rId2" w:history="1">
        <w:r>
          <w:rPr>
            <w:rStyle w:val="Hyperlink"/>
          </w:rPr>
          <w:t>Research - Green House Project (thegreenhouseproject.org)</w:t>
        </w:r>
      </w:hyperlink>
      <w:r>
        <w:t xml:space="preserve"> </w:t>
      </w:r>
    </w:p>
  </w:footnote>
  <w:footnote w:id="3">
    <w:p w14:paraId="7DCB57B2" w14:textId="6A906A84" w:rsidR="003B717D" w:rsidRDefault="003B717D">
      <w:pPr>
        <w:pStyle w:val="FootnoteText"/>
      </w:pPr>
      <w:r>
        <w:rPr>
          <w:rStyle w:val="FootnoteReference"/>
        </w:rPr>
        <w:footnoteRef/>
      </w:r>
      <w:r>
        <w:t xml:space="preserve"> </w:t>
      </w:r>
      <w:hyperlink r:id="rId3" w:history="1">
        <w:r>
          <w:rPr>
            <w:rStyle w:val="Hyperlink"/>
          </w:rPr>
          <w:t>106 Small House (SH) Model (va.gov)</w:t>
        </w:r>
      </w:hyperlink>
      <w:r>
        <w:t xml:space="preserve"> </w:t>
      </w:r>
    </w:p>
  </w:footnote>
  <w:footnote w:id="4">
    <w:p w14:paraId="2FBBBB76" w14:textId="7DF4C448" w:rsidR="003B717D" w:rsidRDefault="003B717D">
      <w:pPr>
        <w:pStyle w:val="FootnoteText"/>
      </w:pPr>
      <w:r>
        <w:rPr>
          <w:rStyle w:val="FootnoteReference"/>
        </w:rPr>
        <w:footnoteRef/>
      </w:r>
      <w:r>
        <w:t xml:space="preserve"> </w:t>
      </w:r>
      <w:hyperlink r:id="rId4" w:history="1">
        <w:r>
          <w:rPr>
            <w:rStyle w:val="Hyperlink"/>
          </w:rPr>
          <w:t>Multifamily Housing - Program Description: Section 202 Supportive Housing for the Elderly Program | HUD.gov / U.S. Department of Housing and Urban Development (HUD)</w:t>
        </w:r>
      </w:hyperlink>
    </w:p>
  </w:footnote>
  <w:footnote w:id="5">
    <w:p w14:paraId="631881E1" w14:textId="158FBC9F" w:rsidR="006C1D4D" w:rsidRDefault="006C1D4D">
      <w:pPr>
        <w:pStyle w:val="FootnoteText"/>
      </w:pPr>
      <w:r>
        <w:rPr>
          <w:rStyle w:val="FootnoteReference"/>
        </w:rPr>
        <w:footnoteRef/>
      </w:r>
      <w:r>
        <w:t xml:space="preserve"> </w:t>
      </w:r>
      <w:hyperlink r:id="rId5" w:history="1">
        <w:r w:rsidRPr="00AB0CC5">
          <w:rPr>
            <w:rStyle w:val="Hyperlink"/>
          </w:rPr>
          <w:t>https://www.nerdwallet.com/article/mortgages/aging-in-place-home-renovations-for-seniors#</w:t>
        </w:r>
      </w:hyperlink>
      <w:r>
        <w:t xml:space="preserve"> </w:t>
      </w:r>
    </w:p>
  </w:footnote>
  <w:footnote w:id="6">
    <w:p w14:paraId="49042C6C" w14:textId="5E39CAAE" w:rsidR="006C1D4D" w:rsidRDefault="006C1D4D">
      <w:pPr>
        <w:pStyle w:val="FootnoteText"/>
      </w:pPr>
      <w:r>
        <w:rPr>
          <w:rStyle w:val="FootnoteReference"/>
        </w:rPr>
        <w:footnoteRef/>
      </w:r>
      <w:r>
        <w:t xml:space="preserve"> </w:t>
      </w:r>
      <w:hyperlink r:id="rId6" w:history="1">
        <w:r>
          <w:rPr>
            <w:rStyle w:val="Hyperlink"/>
          </w:rPr>
          <w:t>Adaptable Housing – Accessible Massachusetts</w:t>
        </w:r>
      </w:hyperlink>
    </w:p>
  </w:footnote>
  <w:footnote w:id="7">
    <w:p w14:paraId="4D424237" w14:textId="5E63E9F9" w:rsidR="006C1D4D" w:rsidRDefault="006C1D4D">
      <w:pPr>
        <w:pStyle w:val="FootnoteText"/>
      </w:pPr>
      <w:r>
        <w:rPr>
          <w:rStyle w:val="FootnoteReference"/>
        </w:rPr>
        <w:footnoteRef/>
      </w:r>
      <w:r>
        <w:t xml:space="preserve"> </w:t>
      </w:r>
      <w:hyperlink r:id="rId7" w:history="1">
        <w:r>
          <w:rPr>
            <w:rStyle w:val="Hyperlink"/>
          </w:rPr>
          <w:t>Less than 5% of housing is accessible to older, disabled Americans (cnbc.com)</w:t>
        </w:r>
      </w:hyperlink>
    </w:p>
  </w:footnote>
  <w:footnote w:id="8">
    <w:p w14:paraId="0ADAB300" w14:textId="3FD65633" w:rsidR="00CB778A" w:rsidRDefault="00CB778A">
      <w:pPr>
        <w:pStyle w:val="FootnoteText"/>
      </w:pPr>
      <w:r>
        <w:rPr>
          <w:rStyle w:val="FootnoteReference"/>
        </w:rPr>
        <w:footnoteRef/>
      </w:r>
      <w:r>
        <w:t xml:space="preserve"> </w:t>
      </w:r>
      <w:hyperlink r:id="rId8" w:history="1">
        <w:r w:rsidRPr="00AB0CC5">
          <w:rPr>
            <w:rStyle w:val="Hyperlink"/>
          </w:rPr>
          <w:t>https://www.propertyradar.com/blog/everything-you-need-to-know-about-accessory-dwelling-units-adus#</w:t>
        </w:r>
      </w:hyperlink>
      <w:r w:rsidRPr="00CB778A">
        <w:t>:</w:t>
      </w:r>
      <w:r>
        <w:t xml:space="preserve"> </w:t>
      </w:r>
    </w:p>
  </w:footnote>
  <w:footnote w:id="9">
    <w:p w14:paraId="6C5B815B" w14:textId="12A4810D" w:rsidR="00CB778A" w:rsidRDefault="00CB778A">
      <w:pPr>
        <w:pStyle w:val="FootnoteText"/>
      </w:pPr>
      <w:r>
        <w:rPr>
          <w:rStyle w:val="FootnoteReference"/>
        </w:rPr>
        <w:footnoteRef/>
      </w:r>
      <w:r>
        <w:t xml:space="preserve"> </w:t>
      </w:r>
      <w:hyperlink r:id="rId9" w:history="1">
        <w:r>
          <w:rPr>
            <w:rStyle w:val="Hyperlink"/>
          </w:rPr>
          <w:t>All About Accessory Dwelling Units (aarp.org)</w:t>
        </w:r>
      </w:hyperlink>
    </w:p>
  </w:footnote>
  <w:footnote w:id="10">
    <w:p w14:paraId="6AFCF7F9" w14:textId="288B8C57" w:rsidR="008174D2" w:rsidRDefault="008174D2">
      <w:pPr>
        <w:pStyle w:val="FootnoteText"/>
      </w:pPr>
      <w:r>
        <w:rPr>
          <w:rStyle w:val="FootnoteReference"/>
        </w:rPr>
        <w:footnoteRef/>
      </w:r>
      <w:r>
        <w:t xml:space="preserve"> </w:t>
      </w:r>
      <w:hyperlink r:id="rId10" w:history="1">
        <w:r>
          <w:rPr>
            <w:rStyle w:val="Hyperlink"/>
          </w:rPr>
          <w:t>Fall2019_NAHPUpdate_FINAL.pdf (nahma.org)</w:t>
        </w:r>
      </w:hyperlink>
      <w:r>
        <w:t xml:space="preserve"> </w:t>
      </w:r>
    </w:p>
  </w:footnote>
  <w:footnote w:id="11">
    <w:p w14:paraId="2A26F47F" w14:textId="2B06B191" w:rsidR="00313CBF" w:rsidRDefault="00313CBF">
      <w:pPr>
        <w:pStyle w:val="FootnoteText"/>
      </w:pPr>
      <w:r>
        <w:rPr>
          <w:rStyle w:val="FootnoteReference"/>
        </w:rPr>
        <w:footnoteRef/>
      </w:r>
      <w:r>
        <w:t xml:space="preserve"> </w:t>
      </w:r>
      <w:hyperlink r:id="rId11" w:history="1">
        <w:r>
          <w:rPr>
            <w:rStyle w:val="Hyperlink"/>
          </w:rPr>
          <w:t>Bullying in senior housing: Is it a real problem? - National Center for Housing Management (nchm.org)</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4F098D"/>
    <w:multiLevelType w:val="hybridMultilevel"/>
    <w:tmpl w:val="28D84C2A"/>
    <w:lvl w:ilvl="0" w:tplc="7A6CFAE8">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149F5E">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806056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4494AE">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A1CABA2">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0A231A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B4A07BC">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58214E">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550524C">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9935AF2"/>
    <w:multiLevelType w:val="hybridMultilevel"/>
    <w:tmpl w:val="01B8495A"/>
    <w:lvl w:ilvl="0" w:tplc="C5526A7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40156200">
    <w:abstractNumId w:val="1"/>
  </w:num>
  <w:num w:numId="2" w16cid:durableId="14650787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905"/>
    <w:rsid w:val="00130BE8"/>
    <w:rsid w:val="002A1EC5"/>
    <w:rsid w:val="002E4F07"/>
    <w:rsid w:val="00313CBF"/>
    <w:rsid w:val="003245FA"/>
    <w:rsid w:val="00360976"/>
    <w:rsid w:val="003B717D"/>
    <w:rsid w:val="00477F21"/>
    <w:rsid w:val="00515378"/>
    <w:rsid w:val="00530A61"/>
    <w:rsid w:val="006851BF"/>
    <w:rsid w:val="006C1D4D"/>
    <w:rsid w:val="006D765E"/>
    <w:rsid w:val="00743679"/>
    <w:rsid w:val="007A540D"/>
    <w:rsid w:val="008052AF"/>
    <w:rsid w:val="008174D2"/>
    <w:rsid w:val="00A112C5"/>
    <w:rsid w:val="00AD3DFA"/>
    <w:rsid w:val="00B6626A"/>
    <w:rsid w:val="00B9500C"/>
    <w:rsid w:val="00BF096B"/>
    <w:rsid w:val="00C264B3"/>
    <w:rsid w:val="00C56905"/>
    <w:rsid w:val="00CB778A"/>
    <w:rsid w:val="00CC796D"/>
    <w:rsid w:val="00D62CB5"/>
    <w:rsid w:val="00E17EAD"/>
    <w:rsid w:val="00EB2265"/>
    <w:rsid w:val="00F02621"/>
    <w:rsid w:val="00F527AA"/>
    <w:rsid w:val="00F90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019A7"/>
  <w15:chartTrackingRefBased/>
  <w15:docId w15:val="{C5A13975-D0A4-428F-955B-EC29EBD86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0A61"/>
    <w:pPr>
      <w:ind w:left="720"/>
      <w:contextualSpacing/>
    </w:pPr>
  </w:style>
  <w:style w:type="paragraph" w:styleId="FootnoteText">
    <w:name w:val="footnote text"/>
    <w:basedOn w:val="Normal"/>
    <w:link w:val="FootnoteTextChar"/>
    <w:uiPriority w:val="99"/>
    <w:semiHidden/>
    <w:unhideWhenUsed/>
    <w:rsid w:val="008174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74D2"/>
    <w:rPr>
      <w:sz w:val="20"/>
      <w:szCs w:val="20"/>
    </w:rPr>
  </w:style>
  <w:style w:type="character" w:styleId="FootnoteReference">
    <w:name w:val="footnote reference"/>
    <w:basedOn w:val="DefaultParagraphFont"/>
    <w:uiPriority w:val="99"/>
    <w:semiHidden/>
    <w:unhideWhenUsed/>
    <w:rsid w:val="008174D2"/>
    <w:rPr>
      <w:vertAlign w:val="superscript"/>
    </w:rPr>
  </w:style>
  <w:style w:type="character" w:styleId="Hyperlink">
    <w:name w:val="Hyperlink"/>
    <w:basedOn w:val="DefaultParagraphFont"/>
    <w:uiPriority w:val="99"/>
    <w:unhideWhenUsed/>
    <w:rsid w:val="008174D2"/>
    <w:rPr>
      <w:color w:val="0000FF"/>
      <w:u w:val="single"/>
    </w:rPr>
  </w:style>
  <w:style w:type="character" w:styleId="UnresolvedMention">
    <w:name w:val="Unresolved Mention"/>
    <w:basedOn w:val="DefaultParagraphFont"/>
    <w:uiPriority w:val="99"/>
    <w:semiHidden/>
    <w:unhideWhenUsed/>
    <w:rsid w:val="006D76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www.propertyradar.com/blog/everything-you-need-to-know-about-accessory-dwelling-units-adus" TargetMode="External"/><Relationship Id="rId3" Type="http://schemas.openxmlformats.org/officeDocument/2006/relationships/hyperlink" Target="https://www.cfm.va.gov/til/space/spChapter106.pdf" TargetMode="External"/><Relationship Id="rId7" Type="http://schemas.openxmlformats.org/officeDocument/2006/relationships/hyperlink" Target="https://www.cnbc.com/2023/07/21/less-than-5percent-of-housing-is-accessible-to-older-disabled-americans.html" TargetMode="External"/><Relationship Id="rId2" Type="http://schemas.openxmlformats.org/officeDocument/2006/relationships/hyperlink" Target="https://thegreenhouseproject.org/resources/research/" TargetMode="External"/><Relationship Id="rId1" Type="http://schemas.openxmlformats.org/officeDocument/2006/relationships/hyperlink" Target="https://www.mamh.org/assets/files/MA_Healthy_Aging_Highlights_2018.pd" TargetMode="External"/><Relationship Id="rId6" Type="http://schemas.openxmlformats.org/officeDocument/2006/relationships/hyperlink" Target="https://accessiblema.org/adaptable-housing/" TargetMode="External"/><Relationship Id="rId11" Type="http://schemas.openxmlformats.org/officeDocument/2006/relationships/hyperlink" Target="https://www.nchm.org/bullying-in-senior-housing-is-it-a-real-problem/" TargetMode="External"/><Relationship Id="rId5" Type="http://schemas.openxmlformats.org/officeDocument/2006/relationships/hyperlink" Target="https://www.nerdwallet.com/article/mortgages/aging-in-place-home-renovations-for-seniors" TargetMode="External"/><Relationship Id="rId10" Type="http://schemas.openxmlformats.org/officeDocument/2006/relationships/hyperlink" Target="https://www.nahma.org/wp-content/uploads/2019/09/Fall2019_NAHPUpdate_FINAL.pdf" TargetMode="External"/><Relationship Id="rId4" Type="http://schemas.openxmlformats.org/officeDocument/2006/relationships/hyperlink" Target="https://www.hud.gov/program_offices/housing/mfh/progdesc/eld202" TargetMode="External"/><Relationship Id="rId9" Type="http://schemas.openxmlformats.org/officeDocument/2006/relationships/hyperlink" Target="https://www.aarp.org/livable-communities/housing/info-2019/accessory-dwelling-units-adu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25D7F4-DFD2-4F34-ACF9-67FD2E932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1106</Words>
  <Characters>6006</Characters>
  <Application>Microsoft Office Word</Application>
  <DocSecurity>0</DocSecurity>
  <Lines>111</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Richard</dc:creator>
  <cp:keywords/>
  <dc:description/>
  <cp:lastModifiedBy>Moore Richard</cp:lastModifiedBy>
  <cp:revision>2</cp:revision>
  <dcterms:created xsi:type="dcterms:W3CDTF">2024-04-02T12:43:00Z</dcterms:created>
  <dcterms:modified xsi:type="dcterms:W3CDTF">2024-04-02T12:43:00Z</dcterms:modified>
</cp:coreProperties>
</file>